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jc w:val="center"/>
        <w:rPr>
          <w:rFonts w:hint="eastAsia" w:ascii="Times New Roman" w:hAnsi="Times New Roman" w:eastAsia="宋体" w:cs="Times New Roman"/>
          <w:b/>
          <w:bCs/>
          <w:color w:val="auto"/>
          <w:sz w:val="32"/>
          <w:szCs w:val="32"/>
          <w:lang w:val="en-US" w:eastAsia="zh-CN"/>
        </w:rPr>
      </w:pPr>
      <w:bookmarkStart w:id="0" w:name="_GoBack"/>
      <w:r>
        <w:rPr>
          <w:rFonts w:hint="eastAsia" w:ascii="Times New Roman" w:hAnsi="Times New Roman" w:eastAsia="宋体" w:cs="Times New Roman"/>
          <w:b/>
          <w:bCs/>
          <w:color w:val="auto"/>
          <w:sz w:val="32"/>
          <w:szCs w:val="32"/>
          <w:lang w:val="en-US" w:eastAsia="zh-CN"/>
        </w:rPr>
        <w:t>关于威远县民政局原仓储地块</w:t>
      </w:r>
    </w:p>
    <w:p>
      <w:pPr>
        <w:pStyle w:val="2"/>
        <w:ind w:left="0" w:leftChars="0" w:firstLine="0" w:firstLineChars="0"/>
        <w:jc w:val="center"/>
        <w:rPr>
          <w:rFonts w:hint="default" w:ascii="Times New Roman" w:hAnsi="Times New Roman" w:eastAsia="宋体" w:cs="Times New Roman"/>
          <w:b/>
          <w:bCs/>
          <w:color w:val="auto"/>
          <w:sz w:val="32"/>
          <w:szCs w:val="32"/>
          <w:lang w:val="en-US" w:eastAsia="zh-CN"/>
        </w:rPr>
      </w:pPr>
      <w:r>
        <w:rPr>
          <w:rFonts w:hint="eastAsia" w:ascii="Times New Roman" w:hAnsi="Times New Roman" w:eastAsia="宋体" w:cs="Times New Roman"/>
          <w:b/>
          <w:bCs/>
          <w:color w:val="auto"/>
          <w:sz w:val="32"/>
          <w:szCs w:val="32"/>
          <w:lang w:val="en-US" w:eastAsia="zh-CN"/>
        </w:rPr>
        <w:t>土壤污染状况初步调查</w:t>
      </w:r>
      <w:r>
        <w:rPr>
          <w:rFonts w:hint="default" w:ascii="Times New Roman" w:hAnsi="Times New Roman" w:eastAsia="宋体" w:cs="Times New Roman"/>
          <w:b/>
          <w:bCs/>
          <w:color w:val="auto"/>
          <w:sz w:val="32"/>
          <w:szCs w:val="32"/>
          <w:lang w:val="en-US" w:eastAsia="zh-CN"/>
        </w:rPr>
        <w:t>公示</w:t>
      </w:r>
      <w:bookmarkEnd w:id="0"/>
    </w:p>
    <w:p>
      <w:pPr>
        <w:numPr>
          <w:ilvl w:val="0"/>
          <w:numId w:val="0"/>
        </w:numPr>
        <w:ind w:firstLine="562" w:firstLineChars="200"/>
        <w:jc w:val="left"/>
        <w:rPr>
          <w:rFonts w:hint="eastAsia" w:ascii="Times New Roman" w:hAnsi="Times New Roman" w:cs="Times New Roman"/>
          <w:b/>
          <w:bCs/>
          <w:color w:val="auto"/>
          <w:kern w:val="2"/>
          <w:sz w:val="28"/>
          <w:szCs w:val="28"/>
          <w:vertAlign w:val="baseline"/>
          <w:lang w:val="en-US" w:eastAsia="zh-CN" w:bidi="ar-SA"/>
        </w:rPr>
      </w:pPr>
      <w:r>
        <w:rPr>
          <w:rFonts w:hint="eastAsia" w:ascii="Times New Roman" w:hAnsi="Times New Roman" w:cs="Times New Roman"/>
          <w:b/>
          <w:bCs/>
          <w:color w:val="auto"/>
          <w:kern w:val="2"/>
          <w:sz w:val="28"/>
          <w:szCs w:val="28"/>
          <w:vertAlign w:val="baseline"/>
          <w:lang w:val="en-US" w:eastAsia="zh-CN" w:bidi="ar-SA"/>
        </w:rPr>
        <w:t>一、地块概况</w:t>
      </w:r>
    </w:p>
    <w:p>
      <w:pPr>
        <w:pageBreakBefore w:val="0"/>
        <w:numPr>
          <w:ilvl w:val="0"/>
          <w:numId w:val="0"/>
        </w:numPr>
        <w:kinsoku/>
        <w:wordWrap/>
        <w:overflowPunct/>
        <w:topLinePunct w:val="0"/>
        <w:bidi w:val="0"/>
        <w:adjustRightInd/>
        <w:ind w:firstLine="560" w:firstLineChars="200"/>
        <w:jc w:val="both"/>
        <w:rPr>
          <w:rFonts w:hint="default" w:ascii="Times New Roman" w:hAnsi="Times New Roman" w:eastAsia="宋体" w:cs="Times New Roman"/>
          <w:b w:val="0"/>
          <w:bCs w:val="0"/>
          <w:sz w:val="28"/>
          <w:szCs w:val="28"/>
          <w:vertAlign w:val="baseline"/>
          <w:lang w:val="en-US" w:eastAsia="zh-CN"/>
        </w:rPr>
      </w:pPr>
      <w:r>
        <w:rPr>
          <w:rFonts w:hint="eastAsia" w:ascii="Times New Roman" w:hAnsi="Times New Roman" w:eastAsia="宋体" w:cs="Times New Roman"/>
          <w:b w:val="0"/>
          <w:bCs w:val="0"/>
          <w:sz w:val="28"/>
          <w:szCs w:val="28"/>
          <w:vertAlign w:val="baseline"/>
          <w:lang w:val="en-US" w:eastAsia="zh-CN"/>
        </w:rPr>
        <w:t>威远县民政局原仓储地块位于四川省内江市威远县严陵镇先觉村17组，占地面积3301.02m</w:t>
      </w:r>
      <w:r>
        <w:rPr>
          <w:rFonts w:hint="eastAsia" w:ascii="Times New Roman" w:hAnsi="Times New Roman" w:eastAsia="宋体" w:cs="Times New Roman"/>
          <w:b w:val="0"/>
          <w:bCs w:val="0"/>
          <w:sz w:val="28"/>
          <w:szCs w:val="28"/>
          <w:vertAlign w:val="superscript"/>
          <w:lang w:val="en-US" w:eastAsia="zh-CN"/>
        </w:rPr>
        <w:t>2</w:t>
      </w:r>
      <w:r>
        <w:rPr>
          <w:rFonts w:hint="eastAsia" w:ascii="Times New Roman" w:hAnsi="Times New Roman" w:eastAsia="宋体" w:cs="Times New Roman"/>
          <w:b w:val="0"/>
          <w:bCs w:val="0"/>
          <w:sz w:val="28"/>
          <w:szCs w:val="28"/>
          <w:vertAlign w:val="baseline"/>
          <w:lang w:val="en-US" w:eastAsia="zh-CN"/>
        </w:rPr>
        <w:t>，原为内江市救灾物资储备威远分库，根据《威远县自然资源和规划局关于严陵镇1-1-11-216号地块规划设计条件通知书》（威自然资规管条(2024)09号）文件，评估地块规划为社会福利设施用地（A6），拟用作内江市救助站威远分站建设。结合《国土空间调查、规划、用途管制用地用海分类指南》中对各用地性质描述，确认该地块用地性质属社会福利设施用地（A6），对照GB36600-2018为第一类建设用地。</w:t>
      </w:r>
    </w:p>
    <w:p>
      <w:pPr>
        <w:pageBreakBefore w:val="0"/>
        <w:numPr>
          <w:ilvl w:val="0"/>
          <w:numId w:val="0"/>
        </w:numPr>
        <w:kinsoku/>
        <w:wordWrap/>
        <w:overflowPunct/>
        <w:topLinePunct w:val="0"/>
        <w:bidi w:val="0"/>
        <w:adjustRightInd/>
        <w:ind w:firstLine="560" w:firstLineChars="200"/>
        <w:jc w:val="both"/>
        <w:rPr>
          <w:rFonts w:hint="default" w:ascii="Times New Roman" w:hAnsi="Times New Roman" w:eastAsia="宋体" w:cs="Times New Roman"/>
          <w:b w:val="0"/>
          <w:bCs w:val="0"/>
          <w:sz w:val="28"/>
          <w:szCs w:val="28"/>
          <w:vertAlign w:val="baseline"/>
          <w:lang w:val="en-US" w:eastAsia="zh-CN"/>
        </w:rPr>
      </w:pPr>
      <w:r>
        <w:rPr>
          <w:rFonts w:hint="eastAsia" w:ascii="Times New Roman" w:hAnsi="Times New Roman" w:eastAsia="宋体" w:cs="Times New Roman"/>
          <w:b w:val="0"/>
          <w:bCs w:val="0"/>
          <w:sz w:val="28"/>
          <w:szCs w:val="28"/>
          <w:vertAlign w:val="baseline"/>
          <w:lang w:val="en-US" w:eastAsia="zh-CN"/>
        </w:rPr>
        <w:t>根据《中华人民共和国土壤污染防治法》中第五十九条：“对土壤污染状况普查、详查和监测、现场检查表明有土壤污染风险的建设用地地块，地方人民政府生态环境主管部门应当要求土地使用权人按照规定进行土壤污染状况调查。用途变更为住宅、公共管理与公共服务用地的，变更前应当按照规定进行土壤污染状况调查。”本地块用地性质变更为公共管理与公共服务用地中的社会福利设施用地（A6），需要对该地块开展土壤污染状况调查评估工作。为减少本地块在开发利用过程中可能带来的环境问题，确保后续用地接触人群人身安全，威远县民政局委托四川和鉴检测技术有限公司对威远县民政局原仓储地块开展土壤污染状况调查评估工作。</w:t>
      </w:r>
    </w:p>
    <w:p>
      <w:pPr>
        <w:numPr>
          <w:ilvl w:val="0"/>
          <w:numId w:val="0"/>
        </w:numPr>
        <w:ind w:firstLine="562" w:firstLineChars="200"/>
        <w:jc w:val="left"/>
        <w:rPr>
          <w:rFonts w:hint="default" w:ascii="Times New Roman" w:hAnsi="Times New Roman" w:cs="Times New Roman"/>
          <w:b/>
          <w:bCs/>
          <w:color w:val="auto"/>
          <w:kern w:val="2"/>
          <w:sz w:val="28"/>
          <w:szCs w:val="28"/>
          <w:vertAlign w:val="baseline"/>
          <w:lang w:val="en-US" w:eastAsia="zh-CN" w:bidi="ar-SA"/>
        </w:rPr>
      </w:pPr>
      <w:r>
        <w:rPr>
          <w:rFonts w:hint="default" w:ascii="Times New Roman" w:hAnsi="Times New Roman" w:cs="Times New Roman"/>
          <w:b/>
          <w:bCs/>
          <w:color w:val="auto"/>
          <w:kern w:val="2"/>
          <w:sz w:val="28"/>
          <w:szCs w:val="28"/>
          <w:vertAlign w:val="baseline"/>
          <w:lang w:val="en-US" w:eastAsia="zh-CN" w:bidi="ar-SA"/>
        </w:rPr>
        <w:t>二、地块使用现状和历史</w:t>
      </w:r>
    </w:p>
    <w:p>
      <w:pPr>
        <w:numPr>
          <w:ilvl w:val="0"/>
          <w:numId w:val="0"/>
        </w:numPr>
        <w:ind w:firstLine="560" w:firstLineChars="200"/>
        <w:jc w:val="left"/>
        <w:rPr>
          <w:rFonts w:hint="eastAsia" w:ascii="Times New Roman" w:hAnsi="Times New Roman" w:eastAsia="宋体" w:cs="Times New Roman"/>
          <w:b w:val="0"/>
          <w:bCs w:val="0"/>
          <w:sz w:val="28"/>
          <w:szCs w:val="28"/>
          <w:vertAlign w:val="baseline"/>
          <w:lang w:val="en-US" w:eastAsia="zh-CN"/>
        </w:rPr>
      </w:pPr>
      <w:r>
        <w:rPr>
          <w:rFonts w:hint="eastAsia" w:ascii="Times New Roman" w:hAnsi="Times New Roman" w:eastAsia="宋体" w:cs="Times New Roman"/>
          <w:b w:val="0"/>
          <w:bCs w:val="0"/>
          <w:sz w:val="28"/>
          <w:szCs w:val="28"/>
          <w:vertAlign w:val="baseline"/>
          <w:lang w:val="en-US" w:eastAsia="zh-CN"/>
        </w:rPr>
        <w:t>评估地块位于四川省内江市威远县严陵镇先觉村17组，占地面积3301.02m</w:t>
      </w:r>
      <w:r>
        <w:rPr>
          <w:rFonts w:hint="eastAsia" w:ascii="Times New Roman" w:hAnsi="Times New Roman" w:eastAsia="宋体" w:cs="Times New Roman"/>
          <w:b w:val="0"/>
          <w:bCs w:val="0"/>
          <w:sz w:val="28"/>
          <w:szCs w:val="28"/>
          <w:vertAlign w:val="superscript"/>
          <w:lang w:val="en-US" w:eastAsia="zh-CN"/>
        </w:rPr>
        <w:t>2</w:t>
      </w:r>
      <w:r>
        <w:rPr>
          <w:rFonts w:hint="eastAsia" w:ascii="Times New Roman" w:hAnsi="Times New Roman" w:eastAsia="宋体" w:cs="Times New Roman"/>
          <w:b w:val="0"/>
          <w:bCs w:val="0"/>
          <w:sz w:val="28"/>
          <w:szCs w:val="28"/>
          <w:vertAlign w:val="baseline"/>
          <w:lang w:val="en-US" w:eastAsia="zh-CN"/>
        </w:rPr>
        <w:t>。根据现场踏勘（2024年5月、6月）情况，整个地面全混凝土硬化（除绿化带）、地块现状为内江市救灾物资储备威远分库，地块内西北侧主要为遮阳堆场，中部为救灾仓库，南侧为应急消防水池和水泵房，东北侧为门卫室；地块内整体地势较为平整。</w:t>
      </w:r>
    </w:p>
    <w:p>
      <w:pPr>
        <w:numPr>
          <w:ilvl w:val="0"/>
          <w:numId w:val="0"/>
        </w:numPr>
        <w:ind w:firstLine="562" w:firstLineChars="200"/>
        <w:jc w:val="left"/>
        <w:rPr>
          <w:rFonts w:hint="default" w:ascii="Times New Roman" w:hAnsi="Times New Roman" w:cs="Times New Roman"/>
          <w:b/>
          <w:bCs/>
          <w:color w:val="auto"/>
          <w:kern w:val="2"/>
          <w:sz w:val="28"/>
          <w:szCs w:val="28"/>
          <w:vertAlign w:val="baseline"/>
          <w:lang w:val="en-US" w:eastAsia="zh-CN" w:bidi="ar-SA"/>
        </w:rPr>
      </w:pPr>
      <w:r>
        <w:rPr>
          <w:rFonts w:hint="eastAsia" w:ascii="Times New Roman" w:hAnsi="Times New Roman" w:cs="Times New Roman"/>
          <w:b/>
          <w:bCs/>
          <w:color w:val="auto"/>
          <w:kern w:val="2"/>
          <w:sz w:val="28"/>
          <w:szCs w:val="28"/>
          <w:vertAlign w:val="baseline"/>
          <w:lang w:val="en-US" w:eastAsia="zh-CN" w:bidi="ar-SA"/>
        </w:rPr>
        <w:t>三、</w:t>
      </w:r>
      <w:r>
        <w:rPr>
          <w:rFonts w:hint="eastAsia" w:asciiTheme="minorEastAsia" w:hAnsiTheme="minorEastAsia" w:eastAsiaTheme="minorEastAsia" w:cstheme="minorEastAsia"/>
          <w:b/>
          <w:bCs/>
          <w:sz w:val="28"/>
          <w:szCs w:val="28"/>
        </w:rPr>
        <w:t>地块未来用地规划</w:t>
      </w:r>
    </w:p>
    <w:p>
      <w:pPr>
        <w:pageBreakBefore w:val="0"/>
        <w:numPr>
          <w:ilvl w:val="0"/>
          <w:numId w:val="0"/>
        </w:numPr>
        <w:kinsoku/>
        <w:wordWrap/>
        <w:overflowPunct/>
        <w:topLinePunct w:val="0"/>
        <w:bidi w:val="0"/>
        <w:adjustRightInd/>
        <w:ind w:firstLine="560" w:firstLineChars="200"/>
        <w:jc w:val="both"/>
        <w:rPr>
          <w:rFonts w:hint="default" w:ascii="Times New Roman" w:hAnsi="Times New Roman" w:eastAsia="宋体" w:cs="Times New Roman"/>
          <w:b w:val="0"/>
          <w:bCs w:val="0"/>
          <w:sz w:val="28"/>
          <w:szCs w:val="28"/>
          <w:vertAlign w:val="baseline"/>
          <w:lang w:val="en-US" w:eastAsia="zh-CN"/>
        </w:rPr>
      </w:pPr>
      <w:r>
        <w:rPr>
          <w:rFonts w:hint="eastAsia" w:ascii="Times New Roman" w:hAnsi="Times New Roman" w:eastAsia="宋体" w:cs="Times New Roman"/>
          <w:b w:val="0"/>
          <w:bCs w:val="0"/>
          <w:sz w:val="28"/>
          <w:szCs w:val="28"/>
          <w:vertAlign w:val="baseline"/>
          <w:lang w:val="en-US" w:eastAsia="zh-CN"/>
        </w:rPr>
        <w:t>根据《威远县自然资源和规划局关于严陵镇1-1-11-216号地块规划设计条件通知书》（威自然资规管条(2024)09号）文件，评估地块规划为社会福利设施用地（A6），拟用作内江市救助站威远分站建设。结合《国土空间调查、规划、用途管制用地用海分类指南》中对各用地性质描述，确认该地块用地性质属社会福利设施用地（A6），对照GB36600-2018为第一类建设用地。</w:t>
      </w:r>
    </w:p>
    <w:p>
      <w:pPr>
        <w:numPr>
          <w:ilvl w:val="0"/>
          <w:numId w:val="1"/>
        </w:numPr>
        <w:ind w:firstLine="562" w:firstLineChars="200"/>
        <w:jc w:val="left"/>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调查情况</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auto"/>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通过现场踏勘、人员访谈以及查阅历史资料可知，</w:t>
      </w:r>
      <w:r>
        <w:rPr>
          <w:rFonts w:hint="eastAsia" w:ascii="Times New Roman" w:hAnsi="Times New Roman" w:eastAsia="宋体" w:cs="Times New Roman"/>
          <w:b w:val="0"/>
          <w:bCs w:val="0"/>
          <w:color w:val="auto"/>
          <w:sz w:val="28"/>
          <w:szCs w:val="28"/>
          <w:lang w:val="en-US" w:eastAsia="zh-CN"/>
        </w:rPr>
        <w:t>本地块利用历史有耕地、学校、仓储。地块内不涉及</w:t>
      </w:r>
      <w:r>
        <w:rPr>
          <w:rFonts w:hint="default" w:ascii="Times New Roman" w:hAnsi="Times New Roman" w:eastAsia="宋体" w:cs="Times New Roman"/>
          <w:b w:val="0"/>
          <w:bCs w:val="0"/>
          <w:color w:val="auto"/>
          <w:sz w:val="28"/>
          <w:szCs w:val="28"/>
          <w:lang w:val="en-US" w:eastAsia="zh-CN"/>
        </w:rPr>
        <w:t>有毒有害物质储存与输送，未涉及环境污染事故、危险废物堆放、固废堆放与倾倒、固废填埋、工业废水污染等，造成土壤污染的可能较小。</w:t>
      </w:r>
    </w:p>
    <w:p>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地块周边区域地下水</w:t>
      </w:r>
      <w:r>
        <w:rPr>
          <w:rFonts w:hint="eastAsia" w:ascii="Times New Roman" w:hAnsi="Times New Roman" w:eastAsia="宋体" w:cs="Times New Roman"/>
          <w:b w:val="0"/>
          <w:bCs w:val="0"/>
          <w:color w:val="auto"/>
          <w:sz w:val="28"/>
          <w:szCs w:val="28"/>
          <w:lang w:val="en-US" w:eastAsia="zh-CN"/>
        </w:rPr>
        <w:t>不</w:t>
      </w:r>
      <w:r>
        <w:rPr>
          <w:rFonts w:hint="default" w:ascii="Times New Roman" w:hAnsi="Times New Roman" w:eastAsia="宋体" w:cs="Times New Roman"/>
          <w:b w:val="0"/>
          <w:bCs w:val="0"/>
          <w:color w:val="auto"/>
          <w:sz w:val="28"/>
          <w:szCs w:val="28"/>
          <w:lang w:val="en-US" w:eastAsia="zh-CN"/>
        </w:rPr>
        <w:t>饮用，地块内土壤和地下水未受污染；地块500m范围内存在居</w:t>
      </w:r>
      <w:r>
        <w:rPr>
          <w:rFonts w:hint="eastAsia" w:ascii="Times New Roman" w:hAnsi="Times New Roman" w:eastAsia="宋体" w:cs="Times New Roman"/>
          <w:b w:val="0"/>
          <w:bCs w:val="0"/>
          <w:color w:val="auto"/>
          <w:sz w:val="28"/>
          <w:szCs w:val="28"/>
          <w:lang w:val="en-US" w:eastAsia="zh-CN"/>
        </w:rPr>
        <w:t>民区、学校、农田、地表水</w:t>
      </w:r>
      <w:r>
        <w:rPr>
          <w:rFonts w:hint="default" w:ascii="Times New Roman" w:hAnsi="Times New Roman" w:eastAsia="宋体" w:cs="Times New Roman"/>
          <w:b w:val="0"/>
          <w:bCs w:val="0"/>
          <w:color w:val="auto"/>
          <w:sz w:val="28"/>
          <w:szCs w:val="28"/>
          <w:lang w:val="en-US" w:eastAsia="zh-CN"/>
        </w:rPr>
        <w:t>；地块周边500m范围内</w:t>
      </w:r>
      <w:r>
        <w:rPr>
          <w:rFonts w:hint="eastAsia" w:ascii="Times New Roman" w:hAnsi="Times New Roman" w:eastAsia="宋体" w:cs="Times New Roman"/>
          <w:b w:val="0"/>
          <w:bCs w:val="0"/>
          <w:color w:val="auto"/>
          <w:sz w:val="28"/>
          <w:szCs w:val="28"/>
          <w:lang w:val="en-US" w:eastAsia="zh-CN"/>
        </w:rPr>
        <w:t>有</w:t>
      </w:r>
      <w:r>
        <w:rPr>
          <w:rFonts w:hint="default" w:ascii="Times New Roman" w:hAnsi="Times New Roman" w:eastAsia="宋体" w:cs="Times New Roman"/>
          <w:b w:val="0"/>
          <w:bCs w:val="0"/>
          <w:color w:val="auto"/>
          <w:sz w:val="28"/>
          <w:szCs w:val="28"/>
          <w:lang w:val="en-US" w:eastAsia="zh-CN"/>
        </w:rPr>
        <w:t>工业企业</w:t>
      </w:r>
      <w:r>
        <w:rPr>
          <w:rFonts w:hint="eastAsia" w:ascii="Times New Roman" w:hAnsi="Times New Roman" w:eastAsia="宋体" w:cs="Times New Roman"/>
          <w:b w:val="0"/>
          <w:bCs w:val="0"/>
          <w:color w:val="auto"/>
          <w:sz w:val="28"/>
          <w:szCs w:val="28"/>
          <w:lang w:val="en-US" w:eastAsia="zh-CN"/>
        </w:rPr>
        <w:t>（个体）</w:t>
      </w:r>
      <w:r>
        <w:rPr>
          <w:rFonts w:hint="default" w:ascii="Times New Roman" w:hAnsi="Times New Roman" w:eastAsia="宋体" w:cs="Times New Roman"/>
          <w:b w:val="0"/>
          <w:bCs w:val="0"/>
          <w:color w:val="auto"/>
          <w:sz w:val="28"/>
          <w:szCs w:val="28"/>
          <w:lang w:val="en-US" w:eastAsia="zh-CN"/>
        </w:rPr>
        <w:t>，</w:t>
      </w:r>
      <w:r>
        <w:rPr>
          <w:rFonts w:hint="eastAsia" w:ascii="Times New Roman" w:hAnsi="Times New Roman" w:eastAsia="宋体" w:cs="Times New Roman"/>
          <w:b w:val="0"/>
          <w:bCs w:val="0"/>
          <w:color w:val="auto"/>
          <w:sz w:val="28"/>
          <w:szCs w:val="28"/>
          <w:lang w:val="en-US" w:eastAsia="zh-CN"/>
        </w:rPr>
        <w:t>但</w:t>
      </w:r>
      <w:r>
        <w:rPr>
          <w:rFonts w:hint="default" w:ascii="Times New Roman" w:hAnsi="Times New Roman" w:eastAsia="宋体" w:cs="Times New Roman"/>
          <w:b w:val="0"/>
          <w:bCs w:val="0"/>
          <w:color w:val="auto"/>
          <w:sz w:val="28"/>
          <w:szCs w:val="28"/>
          <w:lang w:val="en-US" w:eastAsia="zh-CN"/>
        </w:rPr>
        <w:t>对本地块的污染影响</w:t>
      </w:r>
      <w:r>
        <w:rPr>
          <w:rFonts w:hint="eastAsia" w:ascii="Times New Roman" w:hAnsi="Times New Roman" w:eastAsia="宋体" w:cs="Times New Roman"/>
          <w:b w:val="0"/>
          <w:bCs w:val="0"/>
          <w:color w:val="auto"/>
          <w:sz w:val="28"/>
          <w:szCs w:val="28"/>
          <w:lang w:val="en-US" w:eastAsia="zh-CN"/>
        </w:rPr>
        <w:t>较小</w:t>
      </w:r>
      <w:r>
        <w:rPr>
          <w:rFonts w:hint="default" w:ascii="Times New Roman" w:hAnsi="Times New Roman" w:eastAsia="宋体" w:cs="Times New Roman"/>
          <w:b w:val="0"/>
          <w:bCs w:val="0"/>
          <w:color w:val="auto"/>
          <w:sz w:val="28"/>
          <w:szCs w:val="28"/>
          <w:lang w:val="en-US" w:eastAsia="zh-CN"/>
        </w:rPr>
        <w:t xml:space="preserve">。 </w:t>
      </w:r>
    </w:p>
    <w:p>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根据现场快检结果，地块内土壤环境质量检测结果均满足《土壤环境质量建设用地土壤污染风险管控标准（试行）》（GB36600-2018）</w:t>
      </w:r>
      <w:r>
        <w:rPr>
          <w:rFonts w:hint="eastAsia" w:ascii="Times New Roman" w:hAnsi="Times New Roman" w:eastAsia="宋体" w:cs="Times New Roman"/>
          <w:b w:val="0"/>
          <w:bCs w:val="0"/>
          <w:color w:val="auto"/>
          <w:sz w:val="28"/>
          <w:szCs w:val="28"/>
          <w:lang w:val="en-US" w:eastAsia="zh-CN"/>
        </w:rPr>
        <w:t>和</w:t>
      </w:r>
      <w:r>
        <w:rPr>
          <w:rFonts w:hint="default" w:ascii="Times New Roman" w:hAnsi="Times New Roman" w:eastAsia="宋体" w:cs="Times New Roman"/>
          <w:b w:val="0"/>
          <w:bCs w:val="0"/>
          <w:color w:val="auto"/>
          <w:sz w:val="28"/>
          <w:szCs w:val="28"/>
          <w:lang w:val="en-US" w:eastAsia="zh-CN"/>
        </w:rPr>
        <w:t>《</w:t>
      </w:r>
      <w:r>
        <w:rPr>
          <w:rFonts w:hint="eastAsia" w:ascii="Times New Roman" w:hAnsi="Times New Roman" w:eastAsia="宋体" w:cs="Times New Roman"/>
          <w:b w:val="0"/>
          <w:bCs w:val="0"/>
          <w:color w:val="auto"/>
          <w:sz w:val="28"/>
          <w:szCs w:val="28"/>
          <w:lang w:val="en-US" w:eastAsia="zh-CN"/>
        </w:rPr>
        <w:t>四川省建设用地土壤污染风险管控标准</w:t>
      </w:r>
      <w:r>
        <w:rPr>
          <w:rFonts w:hint="default" w:ascii="Times New Roman" w:hAnsi="Times New Roman" w:eastAsia="宋体" w:cs="Times New Roman"/>
          <w:b w:val="0"/>
          <w:bCs w:val="0"/>
          <w:color w:val="auto"/>
          <w:sz w:val="28"/>
          <w:szCs w:val="28"/>
          <w:lang w:val="en-US" w:eastAsia="zh-CN"/>
        </w:rPr>
        <w:t>》</w:t>
      </w:r>
      <w:r>
        <w:rPr>
          <w:rFonts w:hint="eastAsia" w:ascii="Times New Roman" w:hAnsi="Times New Roman" w:eastAsia="宋体" w:cs="Times New Roman"/>
          <w:b w:val="0"/>
          <w:bCs w:val="0"/>
          <w:color w:val="auto"/>
          <w:sz w:val="28"/>
          <w:szCs w:val="28"/>
          <w:lang w:val="en-US" w:eastAsia="zh-CN"/>
        </w:rPr>
        <w:t>（DB51/2978-2023）</w:t>
      </w:r>
      <w:r>
        <w:rPr>
          <w:rFonts w:hint="default" w:ascii="Times New Roman" w:hAnsi="Times New Roman" w:eastAsia="宋体" w:cs="Times New Roman"/>
          <w:b w:val="0"/>
          <w:bCs w:val="0"/>
          <w:color w:val="auto"/>
          <w:sz w:val="28"/>
          <w:szCs w:val="28"/>
          <w:lang w:val="en-US" w:eastAsia="zh-CN"/>
        </w:rPr>
        <w:t>中</w:t>
      </w:r>
      <w:r>
        <w:rPr>
          <w:rFonts w:hint="eastAsia" w:ascii="Times New Roman" w:hAnsi="Times New Roman" w:eastAsia="宋体" w:cs="Times New Roman"/>
          <w:b w:val="0"/>
          <w:bCs w:val="0"/>
          <w:color w:val="auto"/>
          <w:sz w:val="28"/>
          <w:szCs w:val="28"/>
          <w:lang w:val="en-US" w:eastAsia="zh-CN"/>
        </w:rPr>
        <w:t>“第一类用地”</w:t>
      </w:r>
      <w:r>
        <w:rPr>
          <w:rFonts w:hint="default" w:ascii="Times New Roman" w:hAnsi="Times New Roman" w:eastAsia="宋体" w:cs="Times New Roman"/>
          <w:b w:val="0"/>
          <w:bCs w:val="0"/>
          <w:color w:val="auto"/>
          <w:sz w:val="28"/>
          <w:szCs w:val="28"/>
          <w:lang w:val="en-US" w:eastAsia="zh-CN"/>
        </w:rPr>
        <w:t>筛选值标准。表明地块</w:t>
      </w:r>
      <w:r>
        <w:rPr>
          <w:rFonts w:hint="eastAsia" w:ascii="Times New Roman" w:hAnsi="Times New Roman" w:eastAsia="宋体" w:cs="Times New Roman"/>
          <w:b w:val="0"/>
          <w:bCs w:val="0"/>
          <w:color w:val="auto"/>
          <w:sz w:val="28"/>
          <w:szCs w:val="28"/>
          <w:lang w:val="en-US" w:eastAsia="zh-CN"/>
        </w:rPr>
        <w:t>现状和利用历史</w:t>
      </w:r>
      <w:r>
        <w:rPr>
          <w:rFonts w:hint="default" w:ascii="Times New Roman" w:hAnsi="Times New Roman" w:eastAsia="宋体" w:cs="Times New Roman"/>
          <w:b w:val="0"/>
          <w:bCs w:val="0"/>
          <w:color w:val="auto"/>
          <w:sz w:val="28"/>
          <w:szCs w:val="28"/>
          <w:lang w:val="en-US" w:eastAsia="zh-CN"/>
        </w:rPr>
        <w:t>对土壤环境影响极小，土壤受到污染的可能性极小。</w:t>
      </w:r>
      <w:r>
        <w:rPr>
          <w:rFonts w:hint="default" w:ascii="Times New Roman" w:hAnsi="Times New Roman" w:eastAsia="宋体" w:cs="Times New Roman"/>
          <w:b w:val="0"/>
          <w:bCs w:val="0"/>
          <w:color w:val="auto"/>
          <w:sz w:val="28"/>
          <w:szCs w:val="28"/>
          <w:lang w:val="en-US" w:eastAsia="zh-CN"/>
        </w:rPr>
        <w:t xml:space="preserve">  </w:t>
      </w:r>
    </w:p>
    <w:p>
      <w:pPr>
        <w:numPr>
          <w:ilvl w:val="0"/>
          <w:numId w:val="0"/>
        </w:numPr>
        <w:ind w:firstLine="562" w:firstLineChars="200"/>
        <w:jc w:val="left"/>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五、初步调查结论</w:t>
      </w:r>
    </w:p>
    <w:p>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综上所述，本地块内现状和历史上均无可能的污染源，地块受污染的可能极小。本报告认为该地块的环境状况可以接受，第一阶段土壤污染状况调查工作可以结束，无需进入第二阶段的调查。评估地块不属于污染地块，可作为第一类用地使用。</w:t>
      </w:r>
    </w:p>
    <w:p>
      <w:pPr>
        <w:pStyle w:val="2"/>
        <w:jc w:val="right"/>
        <w:rPr>
          <w:rFonts w:hint="default"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2024年6月28日</w:t>
      </w:r>
    </w:p>
    <w:sectPr>
      <w:pgSz w:w="11906" w:h="16838"/>
      <w:pgMar w:top="1440" w:right="1406" w:bottom="1440" w:left="140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039AF5"/>
    <w:multiLevelType w:val="singleLevel"/>
    <w:tmpl w:val="BA039AF5"/>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wODFiMWJkMzQxNzkwZTBjN2I3ZGU4NTg3ZDU2MWYifQ=="/>
  </w:docVars>
  <w:rsids>
    <w:rsidRoot w:val="00000000"/>
    <w:rsid w:val="0021248E"/>
    <w:rsid w:val="02F71863"/>
    <w:rsid w:val="05735BA2"/>
    <w:rsid w:val="094D6D26"/>
    <w:rsid w:val="096565E1"/>
    <w:rsid w:val="0A4E149B"/>
    <w:rsid w:val="0ABE332A"/>
    <w:rsid w:val="0CCA31E5"/>
    <w:rsid w:val="0D7F2AEA"/>
    <w:rsid w:val="0F955B67"/>
    <w:rsid w:val="11335637"/>
    <w:rsid w:val="167A301A"/>
    <w:rsid w:val="1BB24AE4"/>
    <w:rsid w:val="1F73543D"/>
    <w:rsid w:val="21BF1545"/>
    <w:rsid w:val="230916FB"/>
    <w:rsid w:val="25821192"/>
    <w:rsid w:val="25FC4DC7"/>
    <w:rsid w:val="2B6D7540"/>
    <w:rsid w:val="2CEB74AE"/>
    <w:rsid w:val="2DA84FA0"/>
    <w:rsid w:val="2FFA556D"/>
    <w:rsid w:val="31664FF7"/>
    <w:rsid w:val="34681E5C"/>
    <w:rsid w:val="35834A13"/>
    <w:rsid w:val="361E2887"/>
    <w:rsid w:val="367137FD"/>
    <w:rsid w:val="36CB7AEC"/>
    <w:rsid w:val="37135E6D"/>
    <w:rsid w:val="387E2D8D"/>
    <w:rsid w:val="3A0021AD"/>
    <w:rsid w:val="3B7C1B1E"/>
    <w:rsid w:val="3BB26491"/>
    <w:rsid w:val="3F4F7231"/>
    <w:rsid w:val="41AB7BA2"/>
    <w:rsid w:val="44A45EB2"/>
    <w:rsid w:val="45E46350"/>
    <w:rsid w:val="468F41A1"/>
    <w:rsid w:val="480269C7"/>
    <w:rsid w:val="489C74CE"/>
    <w:rsid w:val="48AE3672"/>
    <w:rsid w:val="4A9D52F4"/>
    <w:rsid w:val="4ADD7DE7"/>
    <w:rsid w:val="4B750F96"/>
    <w:rsid w:val="4C0F3FD0"/>
    <w:rsid w:val="4D605854"/>
    <w:rsid w:val="4DF9450D"/>
    <w:rsid w:val="4E464569"/>
    <w:rsid w:val="4FDE222C"/>
    <w:rsid w:val="50994B4D"/>
    <w:rsid w:val="52ED0DE3"/>
    <w:rsid w:val="53596C55"/>
    <w:rsid w:val="541F3CC5"/>
    <w:rsid w:val="542E520F"/>
    <w:rsid w:val="547515F6"/>
    <w:rsid w:val="59087A65"/>
    <w:rsid w:val="5A7928E2"/>
    <w:rsid w:val="5EC30B27"/>
    <w:rsid w:val="62731C81"/>
    <w:rsid w:val="63BA39CC"/>
    <w:rsid w:val="666656DD"/>
    <w:rsid w:val="6A2035CA"/>
    <w:rsid w:val="6AD85E51"/>
    <w:rsid w:val="6C227023"/>
    <w:rsid w:val="6C580F50"/>
    <w:rsid w:val="6DDF31EB"/>
    <w:rsid w:val="6E727259"/>
    <w:rsid w:val="6F7A5D87"/>
    <w:rsid w:val="72037883"/>
    <w:rsid w:val="7241444D"/>
    <w:rsid w:val="73A152FA"/>
    <w:rsid w:val="76434178"/>
    <w:rsid w:val="78702104"/>
    <w:rsid w:val="79614841"/>
    <w:rsid w:val="7A9D7B30"/>
    <w:rsid w:val="7E425C05"/>
    <w:rsid w:val="7E4B683A"/>
    <w:rsid w:val="7ED52A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autoRedefine/>
    <w:qFormat/>
    <w:uiPriority w:val="0"/>
    <w:pPr>
      <w:spacing w:after="120" w:afterLines="0" w:afterAutospacing="0"/>
      <w:ind w:left="420" w:leftChars="200"/>
    </w:pPr>
  </w:style>
  <w:style w:type="paragraph" w:styleId="4">
    <w:name w:val="toc 3"/>
    <w:basedOn w:val="1"/>
    <w:next w:val="1"/>
    <w:autoRedefine/>
    <w:qFormat/>
    <w:uiPriority w:val="0"/>
    <w:pPr>
      <w:spacing w:line="360" w:lineRule="auto"/>
      <w:ind w:left="0" w:leftChars="0" w:firstLine="1205" w:firstLineChars="250"/>
    </w:pPr>
    <w:rPr>
      <w:rFonts w:ascii="Times New Roman" w:hAnsi="Times New Roman" w:eastAsia="宋体" w:cs="宋体"/>
      <w:sz w:val="24"/>
      <w:lang w:val="zh-CN" w:bidi="zh-CN"/>
    </w:rPr>
  </w:style>
  <w:style w:type="paragraph" w:styleId="5">
    <w:name w:val="Body Text"/>
    <w:basedOn w:val="1"/>
    <w:next w:val="6"/>
    <w:qFormat/>
    <w:uiPriority w:val="0"/>
    <w:pPr>
      <w:widowControl w:val="0"/>
      <w:spacing w:after="120" w:afterLines="0" w:line="360" w:lineRule="auto"/>
      <w:ind w:firstLine="562" w:firstLineChars="200"/>
      <w:jc w:val="both"/>
    </w:pPr>
    <w:rPr>
      <w:rFonts w:ascii="Times New Roman" w:hAnsi="Times New Roman" w:eastAsia="宋体" w:cs="Times New Roman"/>
      <w:kern w:val="2"/>
      <w:sz w:val="24"/>
      <w:szCs w:val="24"/>
      <w:lang w:val="en-US" w:eastAsia="zh-CN" w:bidi="ar-SA"/>
    </w:rPr>
  </w:style>
  <w:style w:type="paragraph" w:styleId="6">
    <w:name w:val="Body Text First Indent"/>
    <w:basedOn w:val="5"/>
    <w:autoRedefine/>
    <w:unhideWhenUsed/>
    <w:qFormat/>
    <w:uiPriority w:val="99"/>
    <w:pPr>
      <w:ind w:firstLine="420" w:firstLineChars="1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1322</Words>
  <Characters>1441</Characters>
  <Lines>0</Lines>
  <Paragraphs>0</Paragraphs>
  <TotalTime>1</TotalTime>
  <ScaleCrop>false</ScaleCrop>
  <LinksUpToDate>false</LinksUpToDate>
  <CharactersWithSpaces>1446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邹涛</cp:lastModifiedBy>
  <dcterms:modified xsi:type="dcterms:W3CDTF">2024-06-28T03:37:49Z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5AE2AE4951AB4C2EADF6A39642F8E7CD_13</vt:lpwstr>
  </property>
</Properties>
</file>